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E687E" w:rsidRPr="003E687E" w:rsidRDefault="003E687E" w:rsidP="003E687E">
      <w:pPr>
        <w:spacing w:before="100" w:beforeAutospacing="1" w:after="100" w:afterAutospacing="1"/>
        <w:outlineLvl w:val="2"/>
        <w:rPr>
          <w:rFonts w:ascii="Times New Roman" w:eastAsia="Times New Roman" w:hAnsi="Times New Roman" w:cs="Times New Roman"/>
          <w:b/>
          <w:bCs/>
          <w:color w:val="000000"/>
          <w:kern w:val="0"/>
          <w:sz w:val="27"/>
          <w:szCs w:val="27"/>
          <w:lang w:eastAsia="it-IT"/>
          <w14:ligatures w14:val="none"/>
        </w:rPr>
      </w:pPr>
      <w:r w:rsidRPr="003E687E">
        <w:rPr>
          <w:rFonts w:ascii="Times New Roman" w:eastAsia="Times New Roman" w:hAnsi="Times New Roman" w:cs="Times New Roman"/>
          <w:b/>
          <w:bCs/>
          <w:color w:val="000000"/>
          <w:kern w:val="0"/>
          <w:sz w:val="27"/>
          <w:szCs w:val="27"/>
          <w:lang w:eastAsia="it-IT"/>
          <w14:ligatures w14:val="none"/>
        </w:rPr>
        <w:t>Innovazione tecnologica e intelligenza artificiale</w:t>
      </w:r>
      <w:r w:rsidR="00CA18A4">
        <w:rPr>
          <w:rFonts w:ascii="Times New Roman" w:eastAsia="Times New Roman" w:hAnsi="Times New Roman" w:cs="Times New Roman"/>
          <w:b/>
          <w:bCs/>
          <w:color w:val="000000"/>
          <w:kern w:val="0"/>
          <w:sz w:val="27"/>
          <w:szCs w:val="27"/>
          <w:lang w:eastAsia="it-IT"/>
          <w14:ligatures w14:val="none"/>
        </w:rPr>
        <w:t>.</w:t>
      </w:r>
    </w:p>
    <w:p w:rsidR="003E687E" w:rsidRPr="003E687E" w:rsidRDefault="003E687E" w:rsidP="003E687E">
      <w:pPr>
        <w:spacing w:before="100" w:beforeAutospacing="1" w:after="100" w:afterAutospacing="1"/>
        <w:rPr>
          <w:rFonts w:ascii="Times New Roman" w:eastAsia="Times New Roman" w:hAnsi="Times New Roman" w:cs="Times New Roman"/>
          <w:color w:val="000000"/>
          <w:kern w:val="0"/>
          <w:lang w:eastAsia="it-IT"/>
          <w14:ligatures w14:val="none"/>
        </w:rPr>
      </w:pPr>
      <w:r w:rsidRPr="003E687E">
        <w:rPr>
          <w:rFonts w:ascii="Times New Roman" w:eastAsia="Times New Roman" w:hAnsi="Times New Roman" w:cs="Times New Roman"/>
          <w:color w:val="000000"/>
          <w:kern w:val="0"/>
          <w:lang w:eastAsia="it-IT"/>
          <w14:ligatures w14:val="none"/>
        </w:rPr>
        <w:t>La trasformazione digitale e lo sviluppo dell’intelligenza artificiale rappresentano una delle principali sfide che le università sono chiamate ad affrontare nei prossimi anni. Non si tratta semplicemente di adottare nuove tecnologie, ma di comprendere come queste stiano modificando profondamente i processi di produzione della conoscenza, la ricerca scientifica, la didattica e il rapporto tra università e società.</w:t>
      </w:r>
    </w:p>
    <w:p w:rsidR="003E687E" w:rsidRPr="003E687E" w:rsidRDefault="003E687E" w:rsidP="003E687E">
      <w:pPr>
        <w:spacing w:before="100" w:beforeAutospacing="1" w:after="100" w:afterAutospacing="1"/>
        <w:rPr>
          <w:rFonts w:ascii="Times New Roman" w:eastAsia="Times New Roman" w:hAnsi="Times New Roman" w:cs="Times New Roman"/>
          <w:color w:val="000000"/>
          <w:kern w:val="0"/>
          <w:lang w:eastAsia="it-IT"/>
          <w14:ligatures w14:val="none"/>
        </w:rPr>
      </w:pPr>
      <w:r w:rsidRPr="003E687E">
        <w:rPr>
          <w:rFonts w:ascii="Times New Roman" w:eastAsia="Times New Roman" w:hAnsi="Times New Roman" w:cs="Times New Roman"/>
          <w:color w:val="000000"/>
          <w:kern w:val="0"/>
          <w:lang w:eastAsia="it-IT"/>
          <w14:ligatures w14:val="none"/>
        </w:rPr>
        <w:t>Sapienza deve affrontare questa sfida con una visione chiara e ambiziosa, capace di valorizzare le competenze straordinarie presenti nell’Ateneo e di rafforzarne il ruolo nel panorama nazionale e internazionale. L’obiettivo non può essere quello di limitarsi ad adattarsi ai cambiamenti prodotti da altri, ma di contribuire attivamente alla loro definizione, partecipando allo sviluppo di nuove conoscenze, nuovi strumenti e nuove applicazioni.</w:t>
      </w:r>
    </w:p>
    <w:p w:rsidR="003E687E" w:rsidRPr="003E687E" w:rsidRDefault="003E687E" w:rsidP="003E687E">
      <w:pPr>
        <w:spacing w:before="100" w:beforeAutospacing="1" w:after="100" w:afterAutospacing="1"/>
        <w:rPr>
          <w:rFonts w:ascii="Times New Roman" w:eastAsia="Times New Roman" w:hAnsi="Times New Roman" w:cs="Times New Roman"/>
          <w:color w:val="000000"/>
          <w:kern w:val="0"/>
          <w:lang w:eastAsia="it-IT"/>
          <w14:ligatures w14:val="none"/>
        </w:rPr>
      </w:pPr>
      <w:r w:rsidRPr="003E687E">
        <w:rPr>
          <w:rFonts w:ascii="Times New Roman" w:eastAsia="Times New Roman" w:hAnsi="Times New Roman" w:cs="Times New Roman"/>
          <w:color w:val="000000"/>
          <w:kern w:val="0"/>
          <w:lang w:eastAsia="it-IT"/>
          <w14:ligatures w14:val="none"/>
        </w:rPr>
        <w:t>Un tema centrale riguarda le infrastrutture scientifiche e tecnologiche. La crescente complessità della ricerca e l’aumento dei costi rendono sempre meno sostenibili modelli basati sulla frammentazione delle risorse. È necessario promuovere una maggiore condivisione delle grandi attrezzature, delle piattaforme tecnologiche e delle infrastrutture di ricerca, superando logiche settoriali e favorendo una visione di Ateneo. Le risorse devono essere concepite come patrimonio comune della comunità scientifica, capace di generare opportunità di collaborazione e innovazione interdisciplinare.</w:t>
      </w:r>
    </w:p>
    <w:p w:rsidR="003E687E" w:rsidRPr="003E687E" w:rsidRDefault="003E687E" w:rsidP="003E687E">
      <w:pPr>
        <w:spacing w:before="100" w:beforeAutospacing="1" w:after="100" w:afterAutospacing="1"/>
        <w:rPr>
          <w:rFonts w:ascii="Times New Roman" w:eastAsia="Times New Roman" w:hAnsi="Times New Roman" w:cs="Times New Roman"/>
          <w:color w:val="000000"/>
          <w:kern w:val="0"/>
          <w:lang w:eastAsia="it-IT"/>
          <w14:ligatures w14:val="none"/>
        </w:rPr>
      </w:pPr>
      <w:r w:rsidRPr="003E687E">
        <w:rPr>
          <w:rFonts w:ascii="Times New Roman" w:eastAsia="Times New Roman" w:hAnsi="Times New Roman" w:cs="Times New Roman"/>
          <w:color w:val="000000"/>
          <w:kern w:val="0"/>
          <w:lang w:eastAsia="it-IT"/>
          <w14:ligatures w14:val="none"/>
        </w:rPr>
        <w:t>L’intelligenza artificiale rappresenta una straordinaria opportunità per la ricerca. Dall’analisi avanzata dei dati alle applicazioni in ambito medico, dalla modellizzazione dei fenomeni complessi alla costruzione di nuovi strumenti di supporto alle decisioni, le sue potenzialità coinvolgono ormai tutte le aree disciplinari. Per questo Sapienza dovrà investire nello sviluppo di competenze diffuse, favorendo l’incontro tra saperi scientifici, tecnologici, umanistici e sociali.</w:t>
      </w:r>
    </w:p>
    <w:p w:rsidR="003E687E" w:rsidRPr="003E687E" w:rsidRDefault="003E687E" w:rsidP="003E687E">
      <w:pPr>
        <w:spacing w:before="100" w:beforeAutospacing="1" w:after="100" w:afterAutospacing="1"/>
        <w:rPr>
          <w:rFonts w:ascii="Times New Roman" w:eastAsia="Times New Roman" w:hAnsi="Times New Roman" w:cs="Times New Roman"/>
          <w:color w:val="000000"/>
          <w:kern w:val="0"/>
          <w:lang w:eastAsia="it-IT"/>
          <w14:ligatures w14:val="none"/>
        </w:rPr>
      </w:pPr>
      <w:r w:rsidRPr="003E687E">
        <w:rPr>
          <w:rFonts w:ascii="Times New Roman" w:eastAsia="Times New Roman" w:hAnsi="Times New Roman" w:cs="Times New Roman"/>
          <w:color w:val="000000"/>
          <w:kern w:val="0"/>
          <w:lang w:eastAsia="it-IT"/>
          <w14:ligatures w14:val="none"/>
        </w:rPr>
        <w:t>La formazione degli studenti e delle nuove generazioni di ricercatori dovrà accompagnare questa trasformazione. In un contesto caratterizzato da innovazioni continue, sarà fondamentale fornire strumenti critici e competenze trasversali che consentano di utilizzare le tecnologie in modo consapevole, responsabile ed efficace. L’intelligenza artificiale dovrà essere considerata non soltanto come una competenza specialistica, ma come un elemento sempre più presente nei percorsi di studio e nelle attività professionali.</w:t>
      </w:r>
    </w:p>
    <w:p w:rsidR="003E687E" w:rsidRPr="003E687E" w:rsidRDefault="003E687E" w:rsidP="003E687E">
      <w:pPr>
        <w:spacing w:before="100" w:beforeAutospacing="1" w:after="100" w:afterAutospacing="1"/>
        <w:rPr>
          <w:rFonts w:ascii="Times New Roman" w:eastAsia="Times New Roman" w:hAnsi="Times New Roman" w:cs="Times New Roman"/>
          <w:color w:val="000000"/>
          <w:kern w:val="0"/>
          <w:lang w:eastAsia="it-IT"/>
          <w14:ligatures w14:val="none"/>
        </w:rPr>
      </w:pPr>
      <w:r w:rsidRPr="003E687E">
        <w:rPr>
          <w:rFonts w:ascii="Times New Roman" w:eastAsia="Times New Roman" w:hAnsi="Times New Roman" w:cs="Times New Roman"/>
          <w:color w:val="000000"/>
          <w:kern w:val="0"/>
          <w:lang w:eastAsia="it-IT"/>
          <w14:ligatures w14:val="none"/>
        </w:rPr>
        <w:t>Particolare attenzione dovrà essere dedicata anche agli aspetti etici e sociali dell’innovazione. Lo sviluppo tecnologico richiede infatti capacità di valutazione, responsabilità istituzionale e una riflessione costante sulle conseguenze che le nuove tecnologie producono sulle persone, sul lavoro e sui processi di costruzione della conoscenza.</w:t>
      </w:r>
    </w:p>
    <w:p w:rsidR="003E687E" w:rsidRPr="003E687E" w:rsidRDefault="003E687E" w:rsidP="003E687E">
      <w:pPr>
        <w:spacing w:before="100" w:beforeAutospacing="1" w:after="100" w:afterAutospacing="1"/>
        <w:rPr>
          <w:rFonts w:ascii="Times New Roman" w:eastAsia="Times New Roman" w:hAnsi="Times New Roman" w:cs="Times New Roman"/>
          <w:color w:val="000000"/>
          <w:kern w:val="0"/>
          <w:lang w:eastAsia="it-IT"/>
          <w14:ligatures w14:val="none"/>
        </w:rPr>
      </w:pPr>
      <w:r w:rsidRPr="003E687E">
        <w:rPr>
          <w:rFonts w:ascii="Times New Roman" w:eastAsia="Times New Roman" w:hAnsi="Times New Roman" w:cs="Times New Roman"/>
          <w:color w:val="000000"/>
          <w:kern w:val="0"/>
          <w:lang w:eastAsia="it-IT"/>
          <w14:ligatures w14:val="none"/>
        </w:rPr>
        <w:t>Le nuove tecnologie offrono inoltre opportunità significative per innovare la didattica e migliorare l’esperienza formativa degli studenti. Strumenti avanzati di tutoraggio, sistemi di apprendimento personalizzato e soluzioni digitali inclusive potranno contribuire a rendere la formazione più accessibile, efficace e attenta alle esigenze individuali, favorendo al tempo stesso l’inclusione degli studenti con disabilità o bisogni educativi specifici.</w:t>
      </w:r>
    </w:p>
    <w:p w:rsidR="003E687E" w:rsidRPr="003E687E" w:rsidRDefault="003E687E" w:rsidP="003E687E">
      <w:pPr>
        <w:spacing w:before="100" w:beforeAutospacing="1" w:after="100" w:afterAutospacing="1"/>
        <w:rPr>
          <w:rFonts w:ascii="Times New Roman" w:eastAsia="Times New Roman" w:hAnsi="Times New Roman" w:cs="Times New Roman"/>
          <w:color w:val="000000"/>
          <w:kern w:val="0"/>
          <w:lang w:eastAsia="it-IT"/>
          <w14:ligatures w14:val="none"/>
        </w:rPr>
      </w:pPr>
      <w:r w:rsidRPr="003E687E">
        <w:rPr>
          <w:rFonts w:ascii="Times New Roman" w:eastAsia="Times New Roman" w:hAnsi="Times New Roman" w:cs="Times New Roman"/>
          <w:color w:val="000000"/>
          <w:kern w:val="0"/>
          <w:lang w:eastAsia="it-IT"/>
          <w14:ligatures w14:val="none"/>
        </w:rPr>
        <w:t>La sfida dell’innovazione richiede infine una governance capace di accompagnare il cambiamento, valorizzare le competenze presenti nell’Ateneo e promuovere la collaborazione tra strutture, dipartimenti e aree disciplinari. Solo attraverso una visione condivisa sarà possibile trasformare la rivoluzione tecnologica in una leva di crescita per la ricerca, la didattica e il ruolo pubblico di Sapienza.</w:t>
      </w:r>
    </w:p>
    <w:p w:rsidR="003E687E" w:rsidRPr="003E687E" w:rsidRDefault="003E687E" w:rsidP="003E687E">
      <w:pPr>
        <w:spacing w:before="100" w:beforeAutospacing="1" w:after="100" w:afterAutospacing="1"/>
        <w:rPr>
          <w:rFonts w:ascii="Times New Roman" w:eastAsia="Times New Roman" w:hAnsi="Times New Roman" w:cs="Times New Roman"/>
          <w:color w:val="000000"/>
          <w:kern w:val="0"/>
          <w:lang w:eastAsia="it-IT"/>
          <w14:ligatures w14:val="none"/>
        </w:rPr>
      </w:pPr>
      <w:r w:rsidRPr="003E687E">
        <w:rPr>
          <w:rFonts w:ascii="Times New Roman" w:eastAsia="Times New Roman" w:hAnsi="Times New Roman" w:cs="Times New Roman"/>
          <w:color w:val="000000"/>
          <w:kern w:val="0"/>
          <w:lang w:eastAsia="it-IT"/>
          <w14:ligatures w14:val="none"/>
        </w:rPr>
        <w:lastRenderedPageBreak/>
        <w:t>L’innovazione tecnologica e l’intelligenza artificiale non rappresentano soltanto una questione tecnica. Riguardano la capacità dell’Università di interpretare il futuro, di guidare il cambiamento e di continuare a svolgere la propria missione scientifica, educativa e sociale in una società in continua trasformazione.</w:t>
      </w:r>
    </w:p>
    <w:p w:rsidR="006611D2" w:rsidRDefault="006611D2"/>
    <w:sectPr w:rsidR="006611D2" w:rsidSect="00982B30">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87E"/>
    <w:rsid w:val="003E687E"/>
    <w:rsid w:val="00562DE3"/>
    <w:rsid w:val="006611D2"/>
    <w:rsid w:val="00982B30"/>
    <w:rsid w:val="00CA18A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7AC5AE4E"/>
  <w15:chartTrackingRefBased/>
  <w15:docId w15:val="{DCC82574-E114-1C4F-A99B-60E49A711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it-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3">
    <w:name w:val="heading 3"/>
    <w:basedOn w:val="Normale"/>
    <w:link w:val="Titolo3Carattere"/>
    <w:uiPriority w:val="9"/>
    <w:qFormat/>
    <w:rsid w:val="003E687E"/>
    <w:pPr>
      <w:spacing w:before="100" w:beforeAutospacing="1" w:after="100" w:afterAutospacing="1"/>
      <w:outlineLvl w:val="2"/>
    </w:pPr>
    <w:rPr>
      <w:rFonts w:ascii="Times New Roman" w:eastAsia="Times New Roman" w:hAnsi="Times New Roman" w:cs="Times New Roman"/>
      <w:b/>
      <w:bCs/>
      <w:kern w:val="0"/>
      <w:sz w:val="27"/>
      <w:szCs w:val="27"/>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3E687E"/>
    <w:rPr>
      <w:rFonts w:ascii="Times New Roman" w:eastAsia="Times New Roman" w:hAnsi="Times New Roman" w:cs="Times New Roman"/>
      <w:b/>
      <w:bCs/>
      <w:kern w:val="0"/>
      <w:sz w:val="27"/>
      <w:szCs w:val="27"/>
      <w:lang w:eastAsia="it-IT"/>
      <w14:ligatures w14:val="none"/>
    </w:rPr>
  </w:style>
  <w:style w:type="paragraph" w:customStyle="1" w:styleId="isselectedend">
    <w:name w:val="isselectedend"/>
    <w:basedOn w:val="Normale"/>
    <w:rsid w:val="003E687E"/>
    <w:pPr>
      <w:spacing w:before="100" w:beforeAutospacing="1" w:after="100" w:afterAutospacing="1"/>
    </w:pPr>
    <w:rPr>
      <w:rFonts w:ascii="Times New Roman" w:eastAsia="Times New Roman" w:hAnsi="Times New Roman" w:cs="Times New Roman"/>
      <w:kern w:val="0"/>
      <w:lang w:eastAsia="it-IT"/>
      <w14:ligatures w14:val="none"/>
    </w:rPr>
  </w:style>
  <w:style w:type="paragraph" w:styleId="NormaleWeb">
    <w:name w:val="Normal (Web)"/>
    <w:basedOn w:val="Normale"/>
    <w:uiPriority w:val="99"/>
    <w:semiHidden/>
    <w:unhideWhenUsed/>
    <w:rsid w:val="003E687E"/>
    <w:pPr>
      <w:spacing w:before="100" w:beforeAutospacing="1" w:after="100" w:afterAutospacing="1"/>
    </w:pPr>
    <w:rPr>
      <w:rFonts w:ascii="Times New Roman" w:eastAsia="Times New Roman" w:hAnsi="Times New Roman" w:cs="Times New Roman"/>
      <w:kern w:val="0"/>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421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601</Words>
  <Characters>3429</Characters>
  <Application>Microsoft Office Word</Application>
  <DocSecurity>0</DocSecurity>
  <Lines>28</Lines>
  <Paragraphs>8</Paragraphs>
  <ScaleCrop>false</ScaleCrop>
  <Company/>
  <LinksUpToDate>false</LinksUpToDate>
  <CharactersWithSpaces>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2026-06-17T07:56:00Z</dcterms:created>
  <dcterms:modified xsi:type="dcterms:W3CDTF">2026-06-17T07:57:00Z</dcterms:modified>
</cp:coreProperties>
</file>