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Area di Discussione - Ricerca e Programmazione</w:t>
      </w:r>
    </w:p>
    <w:p>
      <w:r>
        <w:t>La ricerca è stata indicata come il principale motore dello sviluppo e della reputazione internazionale di Sapienza. Il dibattito ha evidenziato la necessità di affrontare le sfide legate alla conclusione della stagione straordinaria del PNRR, alla sostenibilità delle infrastrutture di ricerca e al rafforzamento delle politiche di reclutamento e valorizzazione dei giovani ricercatori.</w:t>
        <w:br/>
        <w:br/>
        <w:t>Tra le priorità individuate figurano il sostegno sia alla ricerca di eccellenza sia alla ricerca diffusa, il rafforzamento dei grant office e delle strutture amministrative di supporto, la promozione dell’interdisciplinarità, l’internazionalizzazione delle attività scientifiche e il potenziamento dei rapporti tra ricerca, innovazione e trasferimento tecnologico. Centrale anche il tema della programmazione strategica e dell’investimento nelle nuove tecnologie, inclusa l’intelligenza artificiale.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