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Area Tematica - Didattica</w:t>
      </w:r>
    </w:p>
    <w:p>
      <w:r>
        <w:t>La discussione ha posto al centro il futuro dell’offerta formativa in un contesto segnato dal calo demografico, dalla crescente concorrenza tra atenei e dall’evoluzione delle esigenze degli studenti. È emersa la necessità di ripensare l’offerta didattica, investendo maggiormente nei percorsi post-lauream, nei master e nella formazione continua.</w:t>
        <w:br/>
        <w:br/>
        <w:t>Tra le priorità individuate figurano il miglioramento delle infrastrutture didattiche, il rafforzamento del supporto tecnico alle aule, la valorizzazione della didattica innovativa e inclusiva, il sostegno all’internazionalizzazione e la semplificazione dei processi organizzativi. Grande attenzione è stata dedicata anche alla qualità della valutazione, alle nuove sfide poste dalle tecnologie digitali e alla necessità di garantire una programmazione più efficace e sostenibile delle attività formative.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